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A4" w:rsidRPr="00D001A4" w:rsidRDefault="00D001A4" w:rsidP="00D001A4">
      <w:pPr>
        <w:shd w:val="clear" w:color="auto" w:fill="FFFFFF"/>
        <w:spacing w:after="0" w:line="240" w:lineRule="auto"/>
        <w:ind w:left="-851" w:right="-994"/>
        <w:rPr>
          <w:rFonts w:ascii="Times New Roman" w:eastAsia="Times New Roman" w:hAnsi="Times New Roman" w:cs="Times New Roman"/>
          <w:color w:val="111111"/>
          <w:sz w:val="24"/>
          <w:szCs w:val="24"/>
          <w:lang w:eastAsia="es-ES"/>
        </w:rPr>
      </w:pPr>
      <w:r w:rsidRPr="00D001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es-ES"/>
        </w:rPr>
        <w:t>Tema:</w:t>
      </w:r>
      <w:r w:rsidRPr="00D001A4">
        <w:rPr>
          <w:rFonts w:ascii="Times New Roman" w:eastAsia="Times New Roman" w:hAnsi="Times New Roman" w:cs="Times New Roman"/>
          <w:color w:val="111111"/>
          <w:sz w:val="24"/>
          <w:szCs w:val="24"/>
          <w:lang w:eastAsia="es-ES"/>
        </w:rPr>
        <w:t> (*) - SUSTITUCIÓN RIT -2019-3278-GDEMZA-DGE</w:t>
      </w:r>
    </w:p>
    <w:p w:rsidR="00D001A4" w:rsidRPr="00D001A4" w:rsidRDefault="00D001A4" w:rsidP="00D001A4">
      <w:pPr>
        <w:shd w:val="clear" w:color="auto" w:fill="FFFFFF"/>
        <w:spacing w:after="0" w:line="240" w:lineRule="auto"/>
        <w:ind w:left="-851" w:right="-994"/>
        <w:rPr>
          <w:rFonts w:ascii="Times New Roman" w:eastAsia="Times New Roman" w:hAnsi="Times New Roman" w:cs="Times New Roman"/>
          <w:color w:val="111111"/>
          <w:sz w:val="24"/>
          <w:szCs w:val="24"/>
          <w:lang w:eastAsia="es-ES"/>
        </w:rPr>
      </w:pPr>
      <w:r w:rsidRPr="00D001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es-ES"/>
        </w:rPr>
        <w:t>Origen:</w:t>
      </w:r>
      <w:r w:rsidRPr="00D001A4">
        <w:rPr>
          <w:rFonts w:ascii="Times New Roman" w:eastAsia="Times New Roman" w:hAnsi="Times New Roman" w:cs="Times New Roman"/>
          <w:color w:val="111111"/>
          <w:sz w:val="24"/>
          <w:szCs w:val="24"/>
          <w:lang w:eastAsia="es-ES"/>
        </w:rPr>
        <w:t> DIRECCIÓN GENERAL DE ESCUELAS</w:t>
      </w:r>
    </w:p>
    <w:p w:rsidR="00D001A4" w:rsidRPr="00D001A4" w:rsidRDefault="00D001A4" w:rsidP="00D001A4">
      <w:pPr>
        <w:shd w:val="clear" w:color="auto" w:fill="FFFFFF"/>
        <w:spacing w:after="0" w:line="240" w:lineRule="auto"/>
        <w:ind w:left="-851" w:right="-994"/>
        <w:rPr>
          <w:rFonts w:ascii="Times New Roman" w:eastAsia="Times New Roman" w:hAnsi="Times New Roman" w:cs="Times New Roman"/>
          <w:color w:val="111111"/>
          <w:sz w:val="24"/>
          <w:szCs w:val="24"/>
          <w:lang w:eastAsia="es-ES"/>
        </w:rPr>
      </w:pPr>
      <w:r w:rsidRPr="00D001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es-ES"/>
        </w:rPr>
        <w:t xml:space="preserve">Resolución </w:t>
      </w:r>
      <w:proofErr w:type="spellStart"/>
      <w:r w:rsidRPr="00D001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es-ES"/>
        </w:rPr>
        <w:t>Nro</w:t>
      </w:r>
      <w:proofErr w:type="spellEnd"/>
      <w:r w:rsidRPr="00D001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es-ES"/>
        </w:rPr>
        <w:t>:</w:t>
      </w:r>
      <w:r w:rsidRPr="00D001A4">
        <w:rPr>
          <w:rFonts w:ascii="Times New Roman" w:eastAsia="Times New Roman" w:hAnsi="Times New Roman" w:cs="Times New Roman"/>
          <w:color w:val="111111"/>
          <w:sz w:val="24"/>
          <w:szCs w:val="24"/>
          <w:lang w:eastAsia="es-ES"/>
        </w:rPr>
        <w:t> 293</w:t>
      </w:r>
    </w:p>
    <w:p w:rsidR="00D001A4" w:rsidRPr="00D001A4" w:rsidRDefault="00D001A4" w:rsidP="00D001A4">
      <w:pPr>
        <w:shd w:val="clear" w:color="auto" w:fill="FFFFFF"/>
        <w:spacing w:after="0" w:line="240" w:lineRule="auto"/>
        <w:ind w:left="-851" w:right="-994"/>
        <w:rPr>
          <w:rFonts w:ascii="Times New Roman" w:eastAsia="Times New Roman" w:hAnsi="Times New Roman" w:cs="Times New Roman"/>
          <w:color w:val="111111"/>
          <w:sz w:val="24"/>
          <w:szCs w:val="24"/>
          <w:lang w:eastAsia="es-ES"/>
        </w:rPr>
      </w:pPr>
      <w:r w:rsidRPr="00D001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es-ES"/>
        </w:rPr>
        <w:t>Fecha:</w:t>
      </w:r>
      <w:r w:rsidRPr="00D001A4">
        <w:rPr>
          <w:rFonts w:ascii="Times New Roman" w:eastAsia="Times New Roman" w:hAnsi="Times New Roman" w:cs="Times New Roman"/>
          <w:color w:val="111111"/>
          <w:sz w:val="24"/>
          <w:szCs w:val="24"/>
          <w:lang w:eastAsia="es-ES"/>
        </w:rPr>
        <w:t> 19-02-2020</w:t>
      </w:r>
    </w:p>
    <w:p w:rsidR="00D001A4" w:rsidRPr="00D001A4" w:rsidRDefault="00D001A4" w:rsidP="00D001A4">
      <w:pPr>
        <w:shd w:val="clear" w:color="auto" w:fill="FFFFFF"/>
        <w:spacing w:after="0" w:line="240" w:lineRule="auto"/>
        <w:ind w:left="-851" w:right="-994"/>
        <w:rPr>
          <w:rFonts w:ascii="Times New Roman" w:eastAsia="Times New Roman" w:hAnsi="Times New Roman" w:cs="Times New Roman"/>
          <w:color w:val="111111"/>
          <w:sz w:val="24"/>
          <w:szCs w:val="24"/>
          <w:lang w:eastAsia="es-ES"/>
        </w:rPr>
      </w:pPr>
    </w:p>
    <w:p w:rsidR="00D001A4" w:rsidRPr="00D001A4" w:rsidRDefault="00D001A4" w:rsidP="00D001A4">
      <w:pPr>
        <w:shd w:val="clear" w:color="auto" w:fill="FFFFFF"/>
        <w:spacing w:after="167" w:line="240" w:lineRule="auto"/>
        <w:ind w:left="-851" w:right="-994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es-ES"/>
        </w:rPr>
      </w:pPr>
      <w:r w:rsidRPr="00D001A4">
        <w:rPr>
          <w:rFonts w:ascii="Times New Roman" w:eastAsia="Times New Roman" w:hAnsi="Times New Roman" w:cs="Times New Roman"/>
          <w:color w:val="111111"/>
          <w:sz w:val="24"/>
          <w:szCs w:val="24"/>
          <w:lang w:eastAsia="es-ES"/>
        </w:rPr>
        <w:t>MENDOZA, 19 DE FEBRERO 2020.</w:t>
      </w:r>
    </w:p>
    <w:p w:rsidR="00D001A4" w:rsidRPr="00D001A4" w:rsidRDefault="00D001A4" w:rsidP="00D001A4">
      <w:pPr>
        <w:shd w:val="clear" w:color="auto" w:fill="FFFFFF"/>
        <w:spacing w:after="167" w:line="240" w:lineRule="auto"/>
        <w:ind w:left="-851" w:right="-99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es-ES"/>
        </w:rPr>
      </w:pPr>
      <w:r w:rsidRPr="00D001A4">
        <w:rPr>
          <w:rFonts w:ascii="Times New Roman" w:eastAsia="Times New Roman" w:hAnsi="Times New Roman" w:cs="Times New Roman"/>
          <w:color w:val="111111"/>
          <w:sz w:val="24"/>
          <w:szCs w:val="24"/>
          <w:lang w:eastAsia="es-ES"/>
        </w:rPr>
        <w:t>VISTO el EX 2018-03477895-GDEMZA-MESA#DGE-, en el cual se tramita la modificación parcial  de la RIT-2019-3278-GDEMZA-DGE, con fecha 28 de octubre 2019, sustituyendo los Anexos que forman parte integrante de la misma; y</w:t>
      </w:r>
    </w:p>
    <w:p w:rsidR="00D001A4" w:rsidRPr="00D001A4" w:rsidRDefault="00D001A4" w:rsidP="00D001A4">
      <w:pPr>
        <w:shd w:val="clear" w:color="auto" w:fill="FFFFFF"/>
        <w:spacing w:after="167" w:line="240" w:lineRule="auto"/>
        <w:ind w:left="-851" w:right="-99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es-ES"/>
        </w:rPr>
      </w:pPr>
      <w:r w:rsidRPr="00D001A4">
        <w:rPr>
          <w:rFonts w:ascii="Times New Roman" w:eastAsia="Times New Roman" w:hAnsi="Times New Roman" w:cs="Times New Roman"/>
          <w:color w:val="111111"/>
          <w:sz w:val="24"/>
          <w:szCs w:val="24"/>
          <w:lang w:eastAsia="es-ES"/>
        </w:rPr>
        <w:t>CONSIDERANDO:</w:t>
      </w:r>
    </w:p>
    <w:p w:rsidR="00D001A4" w:rsidRPr="00D001A4" w:rsidRDefault="00D001A4" w:rsidP="00D001A4">
      <w:pPr>
        <w:shd w:val="clear" w:color="auto" w:fill="FFFFFF"/>
        <w:spacing w:after="167" w:line="240" w:lineRule="auto"/>
        <w:ind w:left="-851" w:right="-99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es-ES"/>
        </w:rPr>
      </w:pPr>
      <w:r w:rsidRPr="00D001A4">
        <w:rPr>
          <w:rFonts w:ascii="Times New Roman" w:eastAsia="Times New Roman" w:hAnsi="Times New Roman" w:cs="Times New Roman"/>
          <w:color w:val="111111"/>
          <w:sz w:val="24"/>
          <w:szCs w:val="24"/>
          <w:lang w:eastAsia="es-ES"/>
        </w:rPr>
        <w:t>Que la citada normativa comprende las incumbencias de títulos para el dictado de los nuevos espacios que configuran la Estructura Curricular de los sectores técnicos definidos como propuesta formativa, destinada a las Escuelas de Educación Secundaria Técnico Profesional de la Provincia de Mendoza.</w:t>
      </w:r>
    </w:p>
    <w:p w:rsidR="00D001A4" w:rsidRPr="00D001A4" w:rsidRDefault="00D001A4" w:rsidP="00D001A4">
      <w:pPr>
        <w:shd w:val="clear" w:color="auto" w:fill="FFFFFF"/>
        <w:spacing w:after="167" w:line="240" w:lineRule="auto"/>
        <w:ind w:left="-851" w:right="-99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es-ES"/>
        </w:rPr>
      </w:pPr>
      <w:r w:rsidRPr="00D001A4">
        <w:rPr>
          <w:rFonts w:ascii="Times New Roman" w:eastAsia="Times New Roman" w:hAnsi="Times New Roman" w:cs="Times New Roman"/>
          <w:color w:val="111111"/>
          <w:sz w:val="24"/>
          <w:szCs w:val="24"/>
          <w:lang w:eastAsia="es-ES"/>
        </w:rPr>
        <w:t xml:space="preserve">Que las estructuras curriculares de los distintos sectores técnicos aprobadas por las Resoluciones </w:t>
      </w:r>
      <w:proofErr w:type="spellStart"/>
      <w:r w:rsidRPr="00D001A4">
        <w:rPr>
          <w:rFonts w:ascii="Times New Roman" w:eastAsia="Times New Roman" w:hAnsi="Times New Roman" w:cs="Times New Roman"/>
          <w:color w:val="111111"/>
          <w:sz w:val="24"/>
          <w:szCs w:val="24"/>
          <w:lang w:eastAsia="es-ES"/>
        </w:rPr>
        <w:t>Nros</w:t>
      </w:r>
      <w:proofErr w:type="spellEnd"/>
      <w:r w:rsidRPr="00D001A4">
        <w:rPr>
          <w:rFonts w:ascii="Times New Roman" w:eastAsia="Times New Roman" w:hAnsi="Times New Roman" w:cs="Times New Roman"/>
          <w:color w:val="111111"/>
          <w:sz w:val="24"/>
          <w:szCs w:val="24"/>
          <w:lang w:eastAsia="es-ES"/>
        </w:rPr>
        <w:t>.: 02382-DGE-2015, 02540-DGE-2015, 02332-DGE-2015, 02336-DGE-2015, 02539-DGE-2015, 02537-DGE-2015, 02534-DGE-2015, 02541-DGE2015, 02535-DGE-2015, 02333-DGE-2015, 02334-DGE-2015, 02538-DGE-2015, 02385-DGE-2015, 02335-DGE-2015, 02536-DGE-2015, 02338-DGE-2015, 02339-DGE-2015, 02340-DGE-2015, 02341-DGE-2015 Y 02337-DGE-2015, incorporan espacios curriculares técnicos profesionalizantes y modifican la denominación de otros con saberes adaptados a la realidad de la tecnología actual, exigiendo el estudio y la determinación de nuevas incumbencias de títulos para cada una de las distintas modalidades técnicos profesionales;</w:t>
      </w:r>
    </w:p>
    <w:p w:rsidR="00D001A4" w:rsidRPr="00D001A4" w:rsidRDefault="00D001A4" w:rsidP="00D001A4">
      <w:pPr>
        <w:shd w:val="clear" w:color="auto" w:fill="FFFFFF"/>
        <w:spacing w:after="167" w:line="240" w:lineRule="auto"/>
        <w:ind w:left="-851" w:right="-99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es-ES"/>
        </w:rPr>
      </w:pPr>
      <w:r w:rsidRPr="00D001A4">
        <w:rPr>
          <w:rFonts w:ascii="Times New Roman" w:eastAsia="Times New Roman" w:hAnsi="Times New Roman" w:cs="Times New Roman"/>
          <w:color w:val="111111"/>
          <w:sz w:val="24"/>
          <w:szCs w:val="24"/>
          <w:lang w:eastAsia="es-ES"/>
        </w:rPr>
        <w:t xml:space="preserve">Que los Anexos detallados a continuación integran cada sector de las resoluciones precedentemente mencionadas: Anexo I Campo Técnico Específico Ciclo Básico; Anexo II Sector Aeronáutico; Anexo III Sector Agropecuario: </w:t>
      </w:r>
      <w:proofErr w:type="spellStart"/>
      <w:r w:rsidRPr="00D001A4">
        <w:rPr>
          <w:rFonts w:ascii="Times New Roman" w:eastAsia="Times New Roman" w:hAnsi="Times New Roman" w:cs="Times New Roman"/>
          <w:color w:val="111111"/>
          <w:sz w:val="24"/>
          <w:szCs w:val="24"/>
          <w:lang w:eastAsia="es-ES"/>
        </w:rPr>
        <w:t>Frutihortícola</w:t>
      </w:r>
      <w:proofErr w:type="spellEnd"/>
      <w:r w:rsidRPr="00D001A4">
        <w:rPr>
          <w:rFonts w:ascii="Times New Roman" w:eastAsia="Times New Roman" w:hAnsi="Times New Roman" w:cs="Times New Roman"/>
          <w:color w:val="111111"/>
          <w:sz w:val="24"/>
          <w:szCs w:val="24"/>
          <w:lang w:eastAsia="es-ES"/>
        </w:rPr>
        <w:t xml:space="preserve"> – Enología – Pecuaria - Tecnología de la Madera Sector: Madera y Muebles; Anexo IV Sector Alimentos; Anexo V Sector Automotriz; Anexo VI Sector Construcciones; Anexo VII Sector Electricidad; Anexo VIII Sector Electromecánico; Anexo IX Sector Electrónico; Anexo X  Sector Farmacia y Laboratorio, Anexo XI Sector Hidráulico ; Anexo XII Sector Industrias de Proceso y Petróleo; Anexo XIII Sector Industrias de Procesos; Anexos XIV Sector Indumentaria-Textil; Anexo XV Sector Mecánico, Anexo XVI Sector Minero y Anexo XVII Sector Químico, comprendiendo las incumbencias para los espacios curriculares de las Modalidades Técnicos Profesionales, en las Áreas 10 a 15 y 24;</w:t>
      </w:r>
    </w:p>
    <w:p w:rsidR="00D001A4" w:rsidRPr="00D001A4" w:rsidRDefault="00D001A4" w:rsidP="00D001A4">
      <w:pPr>
        <w:shd w:val="clear" w:color="auto" w:fill="FFFFFF"/>
        <w:spacing w:after="167" w:line="240" w:lineRule="auto"/>
        <w:ind w:left="-851" w:right="-99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es-ES"/>
        </w:rPr>
      </w:pPr>
      <w:r w:rsidRPr="00D001A4">
        <w:rPr>
          <w:rFonts w:ascii="Times New Roman" w:eastAsia="Times New Roman" w:hAnsi="Times New Roman" w:cs="Times New Roman"/>
          <w:color w:val="111111"/>
          <w:sz w:val="24"/>
          <w:szCs w:val="24"/>
          <w:lang w:eastAsia="es-ES"/>
        </w:rPr>
        <w:t xml:space="preserve">Que a la fecha, la situación fáctica ha cambiado teniendo la necesidad  de incorporar nuevas competencias para títulos de grado de Nivel Superior y de Nivel Secundario de la Modalidad Técnico Profesional, produciendo estas incorporaciones la </w:t>
      </w:r>
      <w:proofErr w:type="spellStart"/>
      <w:r w:rsidRPr="00D001A4">
        <w:rPr>
          <w:rFonts w:ascii="Times New Roman" w:eastAsia="Times New Roman" w:hAnsi="Times New Roman" w:cs="Times New Roman"/>
          <w:color w:val="111111"/>
          <w:sz w:val="24"/>
          <w:szCs w:val="24"/>
          <w:lang w:eastAsia="es-ES"/>
        </w:rPr>
        <w:t>desactualización</w:t>
      </w:r>
      <w:proofErr w:type="spellEnd"/>
      <w:r w:rsidRPr="00D001A4">
        <w:rPr>
          <w:rFonts w:ascii="Times New Roman" w:eastAsia="Times New Roman" w:hAnsi="Times New Roman" w:cs="Times New Roman"/>
          <w:color w:val="111111"/>
          <w:sz w:val="24"/>
          <w:szCs w:val="24"/>
          <w:lang w:eastAsia="es-ES"/>
        </w:rPr>
        <w:t xml:space="preserve"> de los Anexos de la RIT-2019- 3278-GDEMZA-DGE;</w:t>
      </w:r>
    </w:p>
    <w:p w:rsidR="00D001A4" w:rsidRPr="00D001A4" w:rsidRDefault="00D001A4" w:rsidP="00D001A4">
      <w:pPr>
        <w:shd w:val="clear" w:color="auto" w:fill="FFFFFF"/>
        <w:spacing w:after="167" w:line="240" w:lineRule="auto"/>
        <w:ind w:left="-851" w:right="-99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es-ES"/>
        </w:rPr>
      </w:pPr>
      <w:r w:rsidRPr="00D001A4">
        <w:rPr>
          <w:rFonts w:ascii="Times New Roman" w:eastAsia="Times New Roman" w:hAnsi="Times New Roman" w:cs="Times New Roman"/>
          <w:color w:val="111111"/>
          <w:sz w:val="24"/>
          <w:szCs w:val="24"/>
          <w:lang w:eastAsia="es-ES"/>
        </w:rPr>
        <w:t xml:space="preserve">Que en orden 22 rola proyecto de </w:t>
      </w:r>
      <w:proofErr w:type="gramStart"/>
      <w:r w:rsidRPr="00D001A4">
        <w:rPr>
          <w:rFonts w:ascii="Times New Roman" w:eastAsia="Times New Roman" w:hAnsi="Times New Roman" w:cs="Times New Roman"/>
          <w:color w:val="111111"/>
          <w:sz w:val="24"/>
          <w:szCs w:val="24"/>
          <w:lang w:eastAsia="es-ES"/>
        </w:rPr>
        <w:t>resolución ;</w:t>
      </w:r>
      <w:proofErr w:type="gramEnd"/>
    </w:p>
    <w:p w:rsidR="00D001A4" w:rsidRPr="00D001A4" w:rsidRDefault="00D001A4" w:rsidP="00D001A4">
      <w:pPr>
        <w:shd w:val="clear" w:color="auto" w:fill="FFFFFF"/>
        <w:spacing w:after="167" w:line="240" w:lineRule="auto"/>
        <w:ind w:left="-851" w:right="-99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es-ES"/>
        </w:rPr>
      </w:pPr>
      <w:r w:rsidRPr="00D001A4">
        <w:rPr>
          <w:rFonts w:ascii="Times New Roman" w:eastAsia="Times New Roman" w:hAnsi="Times New Roman" w:cs="Times New Roman"/>
          <w:color w:val="111111"/>
          <w:sz w:val="24"/>
          <w:szCs w:val="24"/>
          <w:lang w:eastAsia="es-ES"/>
        </w:rPr>
        <w:t>Por ello,</w:t>
      </w:r>
    </w:p>
    <w:p w:rsidR="00D001A4" w:rsidRPr="00D001A4" w:rsidRDefault="00D001A4" w:rsidP="00D001A4">
      <w:pPr>
        <w:shd w:val="clear" w:color="auto" w:fill="FFFFFF"/>
        <w:spacing w:after="167" w:line="240" w:lineRule="auto"/>
        <w:ind w:left="-851" w:right="-994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es-ES"/>
        </w:rPr>
      </w:pPr>
      <w:r w:rsidRPr="00D001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es-ES"/>
        </w:rPr>
        <w:t>EL</w:t>
      </w:r>
    </w:p>
    <w:p w:rsidR="00D001A4" w:rsidRPr="00D001A4" w:rsidRDefault="00D001A4" w:rsidP="00D001A4">
      <w:pPr>
        <w:shd w:val="clear" w:color="auto" w:fill="FFFFFF"/>
        <w:spacing w:after="167" w:line="240" w:lineRule="auto"/>
        <w:ind w:left="-851" w:right="-994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es-ES"/>
        </w:rPr>
      </w:pPr>
      <w:r w:rsidRPr="00D001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es-ES"/>
        </w:rPr>
        <w:t>DIRECTOR GENERAL DE ESCUELAS</w:t>
      </w:r>
    </w:p>
    <w:p w:rsidR="00D001A4" w:rsidRPr="00D001A4" w:rsidRDefault="00D001A4" w:rsidP="00D001A4">
      <w:pPr>
        <w:shd w:val="clear" w:color="auto" w:fill="FFFFFF"/>
        <w:spacing w:after="167" w:line="240" w:lineRule="auto"/>
        <w:ind w:left="-851" w:right="-994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es-ES"/>
        </w:rPr>
      </w:pPr>
      <w:r w:rsidRPr="00D001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es-ES"/>
        </w:rPr>
        <w:t>R E S U E L V E:</w:t>
      </w:r>
    </w:p>
    <w:p w:rsidR="00D001A4" w:rsidRPr="00D001A4" w:rsidRDefault="00D001A4" w:rsidP="00D001A4">
      <w:pPr>
        <w:shd w:val="clear" w:color="auto" w:fill="FFFFFF"/>
        <w:spacing w:after="167" w:line="240" w:lineRule="auto"/>
        <w:ind w:left="-851" w:right="-99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es-ES"/>
        </w:rPr>
      </w:pPr>
      <w:r w:rsidRPr="00D001A4">
        <w:rPr>
          <w:rFonts w:ascii="Times New Roman" w:eastAsia="Times New Roman" w:hAnsi="Times New Roman" w:cs="Times New Roman"/>
          <w:color w:val="111111"/>
          <w:sz w:val="24"/>
          <w:szCs w:val="24"/>
          <w:lang w:eastAsia="es-ES"/>
        </w:rPr>
        <w:t xml:space="preserve">Artículo 1ro.-Sustitúyase los siguientes Anexos: Anexo I Campo Técnico Específico Ciclo Básico; Anexo II Sector Aeronáutico; Anexo III Sector Agropecuario: </w:t>
      </w:r>
      <w:proofErr w:type="spellStart"/>
      <w:r w:rsidRPr="00D001A4">
        <w:rPr>
          <w:rFonts w:ascii="Times New Roman" w:eastAsia="Times New Roman" w:hAnsi="Times New Roman" w:cs="Times New Roman"/>
          <w:color w:val="111111"/>
          <w:sz w:val="24"/>
          <w:szCs w:val="24"/>
          <w:lang w:eastAsia="es-ES"/>
        </w:rPr>
        <w:t>Frutihortícola</w:t>
      </w:r>
      <w:proofErr w:type="spellEnd"/>
      <w:r w:rsidRPr="00D001A4">
        <w:rPr>
          <w:rFonts w:ascii="Times New Roman" w:eastAsia="Times New Roman" w:hAnsi="Times New Roman" w:cs="Times New Roman"/>
          <w:color w:val="111111"/>
          <w:sz w:val="24"/>
          <w:szCs w:val="24"/>
          <w:lang w:eastAsia="es-ES"/>
        </w:rPr>
        <w:t xml:space="preserve"> – Enología – Pecuaria - Tecnología de la Madera Sector: Madera y Muebles; Anexo IV Sector Alimentos; Anexo V Sector Automotriz; Anexo </w:t>
      </w:r>
      <w:r w:rsidRPr="00D001A4">
        <w:rPr>
          <w:rFonts w:ascii="Times New Roman" w:eastAsia="Times New Roman" w:hAnsi="Times New Roman" w:cs="Times New Roman"/>
          <w:color w:val="111111"/>
          <w:sz w:val="24"/>
          <w:szCs w:val="24"/>
          <w:lang w:eastAsia="es-ES"/>
        </w:rPr>
        <w:lastRenderedPageBreak/>
        <w:t>VI Sector Construcciones; Anexo VII Sector Electricidad; Anexo VIII Sector Electromecánico; Anexo IX Sector Electrónico; Anexo X  Sector Farmacia y Laboratorio, Anexo XI Sector Hidráulico ; Anexo XII Sector Industrias de Proceso y Petróleo; Anexo XIII Sector Industrias de Procesos; Anexos XIV Sector Indumentaria-Textil; Anexo XV Sector Mecánico, Anexo XVI Sector Minero y Anexo XVII Sector Químico, comprendiendo las incumbencias para los espacios curriculares de las Modalidades Técnico Profesionales, en las Áreas  10 a 15 y 24 de la RIT-2019- 3278-GDEMZA-DGE de fecha 28 de octubre de 2019, por los Anexos (archivo embebidos) que forman parte integrante de este resolutivo.</w:t>
      </w:r>
    </w:p>
    <w:p w:rsidR="00D001A4" w:rsidRPr="00D001A4" w:rsidRDefault="00D001A4" w:rsidP="00D001A4">
      <w:pPr>
        <w:shd w:val="clear" w:color="auto" w:fill="FFFFFF"/>
        <w:spacing w:after="167" w:line="240" w:lineRule="auto"/>
        <w:ind w:left="-851" w:right="-99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es-ES"/>
        </w:rPr>
      </w:pPr>
      <w:r w:rsidRPr="00D001A4">
        <w:rPr>
          <w:rFonts w:ascii="Times New Roman" w:eastAsia="Times New Roman" w:hAnsi="Times New Roman" w:cs="Times New Roman"/>
          <w:color w:val="111111"/>
          <w:sz w:val="24"/>
          <w:szCs w:val="24"/>
          <w:lang w:eastAsia="es-ES"/>
        </w:rPr>
        <w:t>Artículo 2do.- Determínese que la presente norma legal tendrá vigencia a partir de su publicación en el Boletín Oficial.</w:t>
      </w:r>
    </w:p>
    <w:p w:rsidR="00D001A4" w:rsidRPr="00D001A4" w:rsidRDefault="00D001A4" w:rsidP="00D001A4">
      <w:pPr>
        <w:shd w:val="clear" w:color="auto" w:fill="FFFFFF"/>
        <w:spacing w:after="167" w:line="240" w:lineRule="auto"/>
        <w:ind w:left="-851" w:right="-99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es-ES"/>
        </w:rPr>
      </w:pPr>
      <w:r w:rsidRPr="00D001A4">
        <w:rPr>
          <w:rFonts w:ascii="Times New Roman" w:eastAsia="Times New Roman" w:hAnsi="Times New Roman" w:cs="Times New Roman"/>
          <w:color w:val="111111"/>
          <w:sz w:val="24"/>
          <w:szCs w:val="24"/>
          <w:lang w:eastAsia="es-ES"/>
        </w:rPr>
        <w:t>Artículo 3ro.- Publíquese y comuníquese a quienes corresponda.</w:t>
      </w:r>
    </w:p>
    <w:p w:rsidR="00D001A4" w:rsidRPr="00D001A4" w:rsidRDefault="00D001A4" w:rsidP="00D001A4">
      <w:pPr>
        <w:shd w:val="clear" w:color="auto" w:fill="FFFFFF"/>
        <w:spacing w:after="0" w:line="240" w:lineRule="auto"/>
        <w:ind w:left="-851" w:right="-994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es-ES"/>
        </w:rPr>
      </w:pPr>
      <w:r w:rsidRPr="00D001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es-ES"/>
        </w:rPr>
        <w:t>JOSE MANUEL THOMAS</w:t>
      </w:r>
    </w:p>
    <w:p w:rsidR="00D001A4" w:rsidRPr="00D001A4" w:rsidRDefault="00D001A4" w:rsidP="00D001A4">
      <w:pPr>
        <w:shd w:val="clear" w:color="auto" w:fill="FFFFFF"/>
        <w:spacing w:line="240" w:lineRule="auto"/>
        <w:ind w:left="-851" w:right="-99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es-ES"/>
        </w:rPr>
      </w:pPr>
      <w:r w:rsidRPr="00D001A4">
        <w:rPr>
          <w:rFonts w:ascii="Times New Roman" w:eastAsia="Times New Roman" w:hAnsi="Times New Roman" w:cs="Times New Roman"/>
          <w:color w:val="111111"/>
          <w:sz w:val="24"/>
          <w:szCs w:val="24"/>
          <w:lang w:eastAsia="es-ES"/>
        </w:rPr>
        <w:t xml:space="preserve">- NOTA: El/los Anexo/s que integra/n este Aviso Oficial se publican en la edición web del Boletín Oficial del Gobierno de Mendoza --www.boletinoficial.mendoza.gov.ar--y también podrán ser consultados en la Sede Central de esta dirección Provincial (Av. </w:t>
      </w:r>
      <w:proofErr w:type="spellStart"/>
      <w:r w:rsidRPr="00D001A4">
        <w:rPr>
          <w:rFonts w:ascii="Times New Roman" w:eastAsia="Times New Roman" w:hAnsi="Times New Roman" w:cs="Times New Roman"/>
          <w:color w:val="111111"/>
          <w:sz w:val="24"/>
          <w:szCs w:val="24"/>
          <w:lang w:eastAsia="es-ES"/>
        </w:rPr>
        <w:t>Peltier</w:t>
      </w:r>
      <w:proofErr w:type="spellEnd"/>
      <w:r w:rsidRPr="00D001A4">
        <w:rPr>
          <w:rFonts w:ascii="Times New Roman" w:eastAsia="Times New Roman" w:hAnsi="Times New Roman" w:cs="Times New Roman"/>
          <w:color w:val="111111"/>
          <w:sz w:val="24"/>
          <w:szCs w:val="24"/>
          <w:lang w:eastAsia="es-ES"/>
        </w:rPr>
        <w:t xml:space="preserve"> 351 - 1º subsuelo - Cuerpo Central - Capital - Mendoza)</w:t>
      </w:r>
    </w:p>
    <w:p w:rsidR="00EE2244" w:rsidRPr="00D001A4" w:rsidRDefault="00EE2244" w:rsidP="00D001A4">
      <w:pPr>
        <w:ind w:left="-851" w:right="-994"/>
        <w:rPr>
          <w:rFonts w:ascii="Times New Roman" w:hAnsi="Times New Roman" w:cs="Times New Roman"/>
          <w:sz w:val="24"/>
          <w:szCs w:val="24"/>
        </w:rPr>
      </w:pPr>
    </w:p>
    <w:sectPr w:rsidR="00EE2244" w:rsidRPr="00D001A4" w:rsidSect="00EE22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001A4"/>
    <w:rsid w:val="00330CDE"/>
    <w:rsid w:val="00380032"/>
    <w:rsid w:val="00683444"/>
    <w:rsid w:val="00D001A4"/>
    <w:rsid w:val="00EE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2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001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4817">
          <w:marLeft w:val="0"/>
          <w:marRight w:val="0"/>
          <w:marTop w:val="0"/>
          <w:marBottom w:val="502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15146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8190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6009">
                      <w:marLeft w:val="0"/>
                      <w:marRight w:val="0"/>
                      <w:marTop w:val="3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2020-02-21T11:25:00Z</dcterms:created>
  <dcterms:modified xsi:type="dcterms:W3CDTF">2020-02-21T11:27:00Z</dcterms:modified>
</cp:coreProperties>
</file>