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38" w:rsidRDefault="00D33F38" w:rsidP="00D33F38">
      <w:pPr>
        <w:spacing w:line="360" w:lineRule="auto"/>
        <w:jc w:val="center"/>
        <w:rPr>
          <w:rFonts w:asciiTheme="minorHAnsi" w:hAnsiTheme="minorHAnsi" w:cs="Tahoma"/>
          <w:b/>
          <w:sz w:val="20"/>
          <w:szCs w:val="20"/>
          <w:u w:val="single"/>
          <w:lang w:val="es-ES"/>
        </w:rPr>
      </w:pPr>
    </w:p>
    <w:p w:rsidR="00D33F38" w:rsidRDefault="00D33F38" w:rsidP="00D33F38">
      <w:pPr>
        <w:spacing w:line="360" w:lineRule="auto"/>
        <w:jc w:val="center"/>
        <w:rPr>
          <w:rFonts w:asciiTheme="minorHAnsi" w:hAnsiTheme="minorHAnsi" w:cs="Tahoma"/>
          <w:b/>
          <w:sz w:val="20"/>
          <w:szCs w:val="20"/>
          <w:u w:val="single"/>
          <w:lang w:val="es-ES"/>
        </w:rPr>
      </w:pPr>
    </w:p>
    <w:p w:rsidR="00D33F38" w:rsidRPr="00452484" w:rsidRDefault="00D33F38" w:rsidP="00D33F38">
      <w:pPr>
        <w:spacing w:line="360" w:lineRule="auto"/>
        <w:jc w:val="center"/>
        <w:rPr>
          <w:rFonts w:asciiTheme="minorHAnsi" w:hAnsiTheme="minorHAnsi" w:cs="Tahoma"/>
          <w:b/>
          <w:sz w:val="20"/>
          <w:szCs w:val="20"/>
          <w:u w:val="single"/>
          <w:lang w:val="es-ES"/>
        </w:rPr>
      </w:pPr>
      <w:r w:rsidRPr="00452484">
        <w:rPr>
          <w:rFonts w:asciiTheme="minorHAnsi" w:hAnsiTheme="minorHAnsi" w:cs="Tahoma"/>
          <w:b/>
          <w:sz w:val="20"/>
          <w:szCs w:val="20"/>
          <w:u w:val="single"/>
          <w:lang w:val="es-ES"/>
        </w:rPr>
        <w:t>ANEXO 30</w:t>
      </w:r>
    </w:p>
    <w:p w:rsidR="00D33F38" w:rsidRPr="00452484" w:rsidRDefault="00D33F38" w:rsidP="00D33F38">
      <w:pPr>
        <w:spacing w:line="360" w:lineRule="auto"/>
        <w:jc w:val="center"/>
        <w:rPr>
          <w:rFonts w:asciiTheme="minorHAnsi" w:hAnsiTheme="minorHAnsi" w:cs="Tahoma"/>
          <w:b/>
          <w:sz w:val="20"/>
          <w:szCs w:val="20"/>
          <w:u w:val="single"/>
          <w:lang w:val="es-ES"/>
        </w:rPr>
      </w:pPr>
      <w:r w:rsidRPr="00452484">
        <w:rPr>
          <w:rFonts w:asciiTheme="minorHAnsi" w:hAnsiTheme="minorHAnsi" w:cs="Tahoma"/>
          <w:b/>
          <w:sz w:val="20"/>
          <w:szCs w:val="20"/>
          <w:u w:val="single"/>
          <w:lang w:val="es-ES"/>
        </w:rPr>
        <w:t>CAUSAS DE INCUMPLIMIENTOS DE METAS (Art. 5, inciso c))</w:t>
      </w:r>
    </w:p>
    <w:p w:rsidR="00D33F38" w:rsidRPr="00452484" w:rsidRDefault="00D33F38" w:rsidP="00D33F38">
      <w:pPr>
        <w:spacing w:line="360" w:lineRule="auto"/>
        <w:jc w:val="center"/>
        <w:rPr>
          <w:rFonts w:asciiTheme="minorHAnsi" w:hAnsiTheme="minorHAnsi" w:cs="Tahoma"/>
          <w:b/>
          <w:sz w:val="20"/>
          <w:szCs w:val="20"/>
          <w:u w:val="single"/>
          <w:lang w:val="es-ES"/>
        </w:rPr>
      </w:pPr>
    </w:p>
    <w:p w:rsidR="00D33F38" w:rsidRPr="00452484" w:rsidRDefault="00D33F38" w:rsidP="00D33F3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20"/>
          <w:szCs w:val="20"/>
          <w:lang w:val="es-ES"/>
        </w:rPr>
      </w:pPr>
      <w:r w:rsidRPr="00452484">
        <w:rPr>
          <w:rFonts w:asciiTheme="minorHAnsi" w:hAnsiTheme="minorHAnsi" w:cs="Arial"/>
          <w:b/>
          <w:sz w:val="20"/>
          <w:szCs w:val="20"/>
          <w:lang w:val="es-ES"/>
        </w:rPr>
        <w:t>RECURSOS</w:t>
      </w:r>
    </w:p>
    <w:p w:rsidR="00D33F38" w:rsidRPr="00452484" w:rsidRDefault="00D33F38" w:rsidP="00D33F38">
      <w:pPr>
        <w:spacing w:line="360" w:lineRule="auto"/>
        <w:ind w:left="36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La recaudación de los Recursos Corrientes ha sido  inferior a la prevista. Esto se debe fundamentalmente a:</w:t>
      </w:r>
    </w:p>
    <w:p w:rsidR="00D33F38" w:rsidRPr="00452484" w:rsidRDefault="00D33F38" w:rsidP="00D33F38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El  Financiamiento 227 PROMER  es un Programa que se encontraba cerrado y recientemente ha comenzado a funcionar.</w:t>
      </w:r>
    </w:p>
    <w:p w:rsidR="00D33F38" w:rsidRPr="00452484" w:rsidRDefault="00D33F38" w:rsidP="00D33F38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 xml:space="preserve"> Las transferencias de los fondos del Financiamientos Nº 124 (Dirección Nacional de Infraestructura), 191 (Programa Más y mejor Trabajo) y 209 (INET)  fueron menores a las estimados debido a los procesos administrativos propios de la gestión con el Ministerio de Educación de la Nación.</w:t>
      </w:r>
    </w:p>
    <w:p w:rsidR="00D33F38" w:rsidRPr="00452484" w:rsidRDefault="00D33F38" w:rsidP="00D33F38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PROMEDU (Financiamiento 239) se encuentra en proceso de cierre.</w:t>
      </w:r>
    </w:p>
    <w:p w:rsidR="00D33F38" w:rsidRPr="00452484" w:rsidRDefault="00D33F38" w:rsidP="00D33F38">
      <w:pPr>
        <w:numPr>
          <w:ilvl w:val="0"/>
          <w:numId w:val="10"/>
        </w:numPr>
        <w:spacing w:before="240" w:line="360" w:lineRule="auto"/>
        <w:ind w:left="357" w:hanging="357"/>
        <w:jc w:val="both"/>
        <w:rPr>
          <w:rFonts w:asciiTheme="minorHAnsi" w:hAnsiTheme="minorHAnsi" w:cs="Arial"/>
          <w:b/>
          <w:sz w:val="20"/>
          <w:szCs w:val="20"/>
          <w:lang w:val="es-ES"/>
        </w:rPr>
      </w:pPr>
      <w:r w:rsidRPr="00452484">
        <w:rPr>
          <w:rFonts w:asciiTheme="minorHAnsi" w:hAnsiTheme="minorHAnsi" w:cs="Arial"/>
          <w:b/>
          <w:sz w:val="20"/>
          <w:szCs w:val="20"/>
          <w:lang w:val="es-ES"/>
        </w:rPr>
        <w:t xml:space="preserve">GASTOS </w:t>
      </w:r>
    </w:p>
    <w:p w:rsidR="00D33F38" w:rsidRPr="00452484" w:rsidRDefault="00D33F38" w:rsidP="00D33F38">
      <w:pPr>
        <w:spacing w:line="360" w:lineRule="auto"/>
        <w:ind w:left="36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Los niveles de ejecución han sido inferiores a los previstos.</w:t>
      </w:r>
    </w:p>
    <w:p w:rsidR="00D33F38" w:rsidRPr="00452484" w:rsidRDefault="00D33F38" w:rsidP="00D33F38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Gastos Corrientes: Esto se debe fundamentalmente a:</w:t>
      </w:r>
    </w:p>
    <w:p w:rsidR="00D33F38" w:rsidRPr="00452484" w:rsidRDefault="00D33F38" w:rsidP="00D33F38">
      <w:pPr>
        <w:numPr>
          <w:ilvl w:val="1"/>
          <w:numId w:val="12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Las demoras en las transferencias de fondos detalladas en el punto A) condicionan los niveles de ejecución.</w:t>
      </w:r>
    </w:p>
    <w:p w:rsidR="00D33F38" w:rsidRPr="00452484" w:rsidRDefault="00D33F38" w:rsidP="00D33F38">
      <w:pPr>
        <w:numPr>
          <w:ilvl w:val="1"/>
          <w:numId w:val="12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Retrasos en los procedimientos  admistrativos para cumplir con las expectativas  de ejecución programadas.</w:t>
      </w:r>
    </w:p>
    <w:p w:rsidR="00D33F38" w:rsidRPr="00452484" w:rsidRDefault="00D33F38" w:rsidP="00D33F38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Las reservas establecidas por el Gobierno de la Provincia, el ritmo del gasto y los cupos definidos por el Ministerio de Hacienda y Finanzas.</w:t>
      </w:r>
    </w:p>
    <w:p w:rsidR="00D33F38" w:rsidRPr="00452484" w:rsidRDefault="00D33F38" w:rsidP="00D33F38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Gastos de Capital: ha existido demora en la tramitación de los llamados a licitación de las obras por la actualización de presupuestos oficiales y las consecuentes modificaciones presupuestarias de ajuste.</w:t>
      </w:r>
    </w:p>
    <w:p w:rsidR="00D33F38" w:rsidRPr="00452484" w:rsidRDefault="00D33F38" w:rsidP="00D33F38">
      <w:pPr>
        <w:numPr>
          <w:ilvl w:val="0"/>
          <w:numId w:val="10"/>
        </w:numPr>
        <w:spacing w:before="240" w:line="360" w:lineRule="auto"/>
        <w:ind w:left="357" w:hanging="357"/>
        <w:jc w:val="both"/>
        <w:rPr>
          <w:rFonts w:asciiTheme="minorHAnsi" w:hAnsiTheme="minorHAnsi" w:cs="Arial"/>
          <w:b/>
          <w:sz w:val="20"/>
          <w:szCs w:val="20"/>
          <w:lang w:val="es-ES"/>
        </w:rPr>
      </w:pPr>
      <w:r w:rsidRPr="00452484">
        <w:rPr>
          <w:rFonts w:asciiTheme="minorHAnsi" w:hAnsiTheme="minorHAnsi" w:cs="Arial"/>
          <w:b/>
          <w:sz w:val="20"/>
          <w:szCs w:val="20"/>
          <w:lang w:val="es-ES"/>
        </w:rPr>
        <w:t>RECURSOS FIGURATIVOS</w:t>
      </w:r>
    </w:p>
    <w:p w:rsidR="00D33F38" w:rsidRPr="00452484" w:rsidRDefault="00D33F38" w:rsidP="00D33F38">
      <w:pPr>
        <w:spacing w:line="360" w:lineRule="auto"/>
        <w:ind w:left="36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Es la consecuencia de recortes en la distribución del gasto y la aplicación de reservas establecidas por el Ministerio de Hacienda y Finanzas.</w:t>
      </w:r>
    </w:p>
    <w:p w:rsidR="00D33F38" w:rsidRPr="00452484" w:rsidRDefault="00D33F38" w:rsidP="00D33F38">
      <w:pPr>
        <w:spacing w:line="360" w:lineRule="auto"/>
        <w:ind w:left="360"/>
        <w:jc w:val="both"/>
        <w:rPr>
          <w:rFonts w:asciiTheme="minorHAnsi" w:hAnsiTheme="minorHAnsi" w:cs="Arial"/>
          <w:sz w:val="20"/>
          <w:szCs w:val="20"/>
          <w:lang w:val="es-ES"/>
        </w:rPr>
      </w:pPr>
    </w:p>
    <w:p w:rsidR="00D33F38" w:rsidRPr="00452484" w:rsidRDefault="00D33F38" w:rsidP="00D33F3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20"/>
          <w:szCs w:val="20"/>
          <w:lang w:val="es-ES"/>
        </w:rPr>
      </w:pPr>
      <w:r w:rsidRPr="00452484">
        <w:rPr>
          <w:rFonts w:asciiTheme="minorHAnsi" w:hAnsiTheme="minorHAnsi" w:cs="Arial"/>
          <w:b/>
          <w:sz w:val="20"/>
          <w:szCs w:val="20"/>
          <w:lang w:val="es-ES"/>
        </w:rPr>
        <w:t>APLICACIONES FINANCIERAS</w:t>
      </w:r>
    </w:p>
    <w:p w:rsidR="00D33F38" w:rsidRDefault="00D33F38" w:rsidP="00D33F38">
      <w:pPr>
        <w:spacing w:line="360" w:lineRule="auto"/>
        <w:ind w:left="36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52484">
        <w:rPr>
          <w:rFonts w:asciiTheme="minorHAnsi" w:hAnsiTheme="minorHAnsi" w:cs="Arial"/>
          <w:sz w:val="20"/>
          <w:szCs w:val="20"/>
          <w:lang w:val="es-ES"/>
        </w:rPr>
        <w:t>Corresponde al pago de la Deuda Flotante 2014.</w:t>
      </w:r>
    </w:p>
    <w:p w:rsidR="00D33F38" w:rsidRPr="00452484" w:rsidRDefault="00D33F38" w:rsidP="00D33F38">
      <w:pPr>
        <w:spacing w:line="360" w:lineRule="auto"/>
        <w:ind w:left="360"/>
        <w:jc w:val="right"/>
        <w:rPr>
          <w:rFonts w:asciiTheme="minorHAnsi" w:hAnsiTheme="minorHAnsi" w:cs="Tahoma"/>
          <w:sz w:val="20"/>
          <w:szCs w:val="20"/>
          <w:lang w:val="es-ES"/>
        </w:rPr>
      </w:pPr>
      <w:r w:rsidRPr="00452484">
        <w:rPr>
          <w:rFonts w:asciiTheme="minorHAnsi" w:hAnsiTheme="minorHAnsi" w:cs="Tahoma"/>
          <w:sz w:val="20"/>
          <w:szCs w:val="20"/>
          <w:lang w:val="es-ES"/>
        </w:rPr>
        <w:t xml:space="preserve">MENDOZA, 30 de </w:t>
      </w:r>
      <w:r>
        <w:rPr>
          <w:rFonts w:asciiTheme="minorHAnsi" w:hAnsiTheme="minorHAnsi" w:cs="Tahoma"/>
          <w:sz w:val="20"/>
          <w:szCs w:val="20"/>
          <w:lang w:val="es-ES"/>
        </w:rPr>
        <w:t>junio de 2016</w:t>
      </w:r>
    </w:p>
    <w:p w:rsidR="00F0650D" w:rsidRPr="00D33F38" w:rsidRDefault="00F0650D" w:rsidP="00D33F38"/>
    <w:sectPr w:rsidR="00F0650D" w:rsidRPr="00D33F38" w:rsidSect="00E00D78">
      <w:headerReference w:type="default" r:id="rId8"/>
      <w:footerReference w:type="default" r:id="rId9"/>
      <w:pgSz w:w="12240" w:h="20160" w:code="5"/>
      <w:pgMar w:top="1559" w:right="1418" w:bottom="1418" w:left="1418" w:header="284" w:footer="301" w:gutter="0"/>
      <w:cols w:space="708"/>
      <w:docGrid w:linePitch="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783" w:rsidRDefault="00176783" w:rsidP="00C32F43">
      <w:r>
        <w:separator/>
      </w:r>
    </w:p>
  </w:endnote>
  <w:endnote w:type="continuationSeparator" w:id="1">
    <w:p w:rsidR="00176783" w:rsidRDefault="00176783" w:rsidP="00C3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16" w:rsidRPr="00303856" w:rsidRDefault="00B17C68" w:rsidP="005C168D">
    <w:pPr>
      <w:pStyle w:val="Piedepgina"/>
      <w:rPr>
        <w:sz w:val="16"/>
        <w:szCs w:val="16"/>
      </w:rPr>
    </w:pPr>
    <w:r w:rsidRPr="00B17C68">
      <w:rPr>
        <w:noProof/>
        <w:sz w:val="16"/>
        <w:szCs w:val="16"/>
        <w:lang w:val="es-ES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-127.2pt;margin-top:19.75pt;width:25.5pt;height:19.5pt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+IgA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" stroked="f">
          <v:textbox>
            <w:txbxContent>
              <w:p w:rsidR="00303856" w:rsidRPr="00303856" w:rsidRDefault="00B17C68" w:rsidP="00303856">
                <w:pPr>
                  <w:jc w:val="center"/>
                  <w:rPr>
                    <w:b/>
                    <w:color w:val="2C7DC1"/>
                  </w:rPr>
                </w:pPr>
                <w:r w:rsidRPr="00303856">
                  <w:rPr>
                    <w:b/>
                    <w:color w:val="2C7DC1"/>
                  </w:rPr>
                  <w:fldChar w:fldCharType="begin"/>
                </w:r>
                <w:r w:rsidR="00303856" w:rsidRPr="00303856">
                  <w:rPr>
                    <w:color w:val="2C7DC1"/>
                  </w:rPr>
                  <w:instrText xml:space="preserve"> PAGE   \* MERGEFORMAT </w:instrText>
                </w:r>
                <w:r w:rsidRPr="00303856">
                  <w:rPr>
                    <w:b/>
                    <w:color w:val="2C7DC1"/>
                  </w:rPr>
                  <w:fldChar w:fldCharType="separate"/>
                </w:r>
                <w:r w:rsidR="00D33F38">
                  <w:rPr>
                    <w:noProof/>
                    <w:color w:val="2C7DC1"/>
                  </w:rPr>
                  <w:t>1</w:t>
                </w:r>
                <w:r w:rsidRPr="00303856">
                  <w:rPr>
                    <w:b/>
                    <w:color w:val="2C7DC1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D439D">
      <w:rPr>
        <w:noProof/>
        <w:sz w:val="16"/>
        <w:szCs w:val="16"/>
        <w:lang w:val="es-AR" w:eastAsia="es-AR"/>
      </w:rPr>
      <w:drawing>
        <wp:inline distT="0" distB="0" distL="0" distR="0">
          <wp:extent cx="6477000" cy="59740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783" w:rsidRDefault="00176783" w:rsidP="00C32F43">
      <w:r>
        <w:separator/>
      </w:r>
    </w:p>
  </w:footnote>
  <w:footnote w:type="continuationSeparator" w:id="1">
    <w:p w:rsidR="00176783" w:rsidRDefault="00176783" w:rsidP="00C3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8D" w:rsidRDefault="00F1787D">
    <w:pPr>
      <w:pStyle w:val="Encabezado"/>
    </w:pPr>
    <w:r>
      <w:ptab w:relativeTo="indent" w:alignment="center" w:leader="none"/>
    </w:r>
    <w:r w:rsidR="00B97B4E">
      <w:rPr>
        <w:noProof/>
        <w:lang w:val="es-AR" w:eastAsia="es-AR"/>
      </w:rPr>
      <w:drawing>
        <wp:inline distT="0" distB="0" distL="0" distR="0">
          <wp:extent cx="6444615" cy="842010"/>
          <wp:effectExtent l="1905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membrete UC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3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D17E1"/>
    <w:multiLevelType w:val="hybridMultilevel"/>
    <w:tmpl w:val="8F24C894"/>
    <w:lvl w:ilvl="0" w:tplc="E1EA8C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F8B008B"/>
    <w:multiLevelType w:val="hybridMultilevel"/>
    <w:tmpl w:val="651C3A10"/>
    <w:lvl w:ilvl="0" w:tplc="567C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D96230"/>
    <w:multiLevelType w:val="hybridMultilevel"/>
    <w:tmpl w:val="7C3EE3E0"/>
    <w:lvl w:ilvl="0" w:tplc="0788254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B779E5"/>
    <w:multiLevelType w:val="multilevel"/>
    <w:tmpl w:val="562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26B88"/>
    <w:multiLevelType w:val="hybridMultilevel"/>
    <w:tmpl w:val="054A5A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72C36"/>
    <w:multiLevelType w:val="multilevel"/>
    <w:tmpl w:val="A75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D72A4"/>
    <w:multiLevelType w:val="multilevel"/>
    <w:tmpl w:val="A9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812BD"/>
    <w:multiLevelType w:val="hybridMultilevel"/>
    <w:tmpl w:val="42622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9729B"/>
    <w:multiLevelType w:val="hybridMultilevel"/>
    <w:tmpl w:val="8E804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34859"/>
    <w:multiLevelType w:val="hybridMultilevel"/>
    <w:tmpl w:val="482C4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A20A28"/>
    <w:multiLevelType w:val="hybridMultilevel"/>
    <w:tmpl w:val="651C3A10"/>
    <w:lvl w:ilvl="0" w:tplc="567C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defaultTabStop w:val="708"/>
  <w:hyphenationZone w:val="425"/>
  <w:drawingGridHorizontalSpacing w:val="201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2CAE"/>
    <w:rsid w:val="000040B1"/>
    <w:rsid w:val="000109AC"/>
    <w:rsid w:val="000312A8"/>
    <w:rsid w:val="000B3520"/>
    <w:rsid w:val="000F4FBE"/>
    <w:rsid w:val="00170CA0"/>
    <w:rsid w:val="00176783"/>
    <w:rsid w:val="00181789"/>
    <w:rsid w:val="00220317"/>
    <w:rsid w:val="0026224F"/>
    <w:rsid w:val="0026348E"/>
    <w:rsid w:val="00272204"/>
    <w:rsid w:val="00291E63"/>
    <w:rsid w:val="002B2BFA"/>
    <w:rsid w:val="002B2E6A"/>
    <w:rsid w:val="002B3E24"/>
    <w:rsid w:val="002D4BC4"/>
    <w:rsid w:val="002F722D"/>
    <w:rsid w:val="0030028A"/>
    <w:rsid w:val="00303856"/>
    <w:rsid w:val="003B5C41"/>
    <w:rsid w:val="00493ECF"/>
    <w:rsid w:val="004C0EAD"/>
    <w:rsid w:val="004E2D54"/>
    <w:rsid w:val="004E4FE5"/>
    <w:rsid w:val="00503172"/>
    <w:rsid w:val="00517C03"/>
    <w:rsid w:val="00520A0E"/>
    <w:rsid w:val="00536038"/>
    <w:rsid w:val="00542CAE"/>
    <w:rsid w:val="005656C5"/>
    <w:rsid w:val="00567BB6"/>
    <w:rsid w:val="00570CC5"/>
    <w:rsid w:val="005B29F0"/>
    <w:rsid w:val="005C168D"/>
    <w:rsid w:val="005D3D17"/>
    <w:rsid w:val="005F27E9"/>
    <w:rsid w:val="00611465"/>
    <w:rsid w:val="0061262C"/>
    <w:rsid w:val="007626AF"/>
    <w:rsid w:val="007F4C4D"/>
    <w:rsid w:val="00801152"/>
    <w:rsid w:val="00834A66"/>
    <w:rsid w:val="00851B4D"/>
    <w:rsid w:val="00853016"/>
    <w:rsid w:val="008676CD"/>
    <w:rsid w:val="008953FB"/>
    <w:rsid w:val="00895EE6"/>
    <w:rsid w:val="008E5707"/>
    <w:rsid w:val="00946FC6"/>
    <w:rsid w:val="0097230A"/>
    <w:rsid w:val="009D069C"/>
    <w:rsid w:val="009E0AAD"/>
    <w:rsid w:val="00A0707D"/>
    <w:rsid w:val="00A36DB2"/>
    <w:rsid w:val="00A62E0C"/>
    <w:rsid w:val="00A702ED"/>
    <w:rsid w:val="00A82D61"/>
    <w:rsid w:val="00AC4C6F"/>
    <w:rsid w:val="00AD2A1F"/>
    <w:rsid w:val="00AF4EC6"/>
    <w:rsid w:val="00B0326B"/>
    <w:rsid w:val="00B05512"/>
    <w:rsid w:val="00B17C68"/>
    <w:rsid w:val="00B77D36"/>
    <w:rsid w:val="00B97B4E"/>
    <w:rsid w:val="00BA4D8E"/>
    <w:rsid w:val="00BA5392"/>
    <w:rsid w:val="00BE24FE"/>
    <w:rsid w:val="00C05BC1"/>
    <w:rsid w:val="00C32F43"/>
    <w:rsid w:val="00C66116"/>
    <w:rsid w:val="00C677B9"/>
    <w:rsid w:val="00C837F9"/>
    <w:rsid w:val="00CA16CD"/>
    <w:rsid w:val="00CB3DA0"/>
    <w:rsid w:val="00CB4B15"/>
    <w:rsid w:val="00CB77F3"/>
    <w:rsid w:val="00CD439D"/>
    <w:rsid w:val="00CF1EB5"/>
    <w:rsid w:val="00D33F38"/>
    <w:rsid w:val="00D406B0"/>
    <w:rsid w:val="00D65086"/>
    <w:rsid w:val="00D933FF"/>
    <w:rsid w:val="00DA52BF"/>
    <w:rsid w:val="00DB6D97"/>
    <w:rsid w:val="00E00D78"/>
    <w:rsid w:val="00E12042"/>
    <w:rsid w:val="00E77220"/>
    <w:rsid w:val="00ED216B"/>
    <w:rsid w:val="00ED40F0"/>
    <w:rsid w:val="00EE5DB7"/>
    <w:rsid w:val="00F0650D"/>
    <w:rsid w:val="00F1787D"/>
    <w:rsid w:val="00F31B68"/>
    <w:rsid w:val="00F367C3"/>
    <w:rsid w:val="00F41287"/>
    <w:rsid w:val="00F55CFC"/>
    <w:rsid w:val="00F64A89"/>
    <w:rsid w:val="00F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38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outlineLvl w:val="0"/>
    </w:pPr>
    <w:rPr>
      <w:rFonts w:eastAsiaTheme="majorEastAsia" w:cstheme="majorBidi"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/>
      <w:outlineLvl w:val="1"/>
    </w:pPr>
    <w:rPr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/>
      <w:outlineLvl w:val="2"/>
    </w:pPr>
    <w:rPr>
      <w:rFonts w:ascii="Lato Heavy" w:hAnsi="Lato Heavy"/>
      <w:color w:val="2C7DC1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/>
      <w:outlineLvl w:val="3"/>
    </w:pPr>
    <w:rPr>
      <w:rFonts w:ascii="Lato Heavy" w:hAnsi="Lato Heavy"/>
      <w:color w:val="2C7DC1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outlineLvl w:val="4"/>
    </w:pPr>
    <w:rPr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D33F38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D33F38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E00D78"/>
    <w:pPr>
      <w:ind w:firstLine="3420"/>
    </w:pPr>
  </w:style>
  <w:style w:type="character" w:customStyle="1" w:styleId="SangradetextonormalCar">
    <w:name w:val="Sangría de texto normal Car"/>
    <w:basedOn w:val="Fuentedeprrafopredeter"/>
    <w:link w:val="Sangradetextonormal"/>
    <w:rsid w:val="00E00D78"/>
    <w:rPr>
      <w:rFonts w:ascii="Times New Roman" w:eastAsia="Times New Roman" w:hAnsi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0" w:line="240" w:lineRule="auto"/>
      <w:outlineLvl w:val="2"/>
    </w:pPr>
    <w:rPr>
      <w:rFonts w:ascii="Lato Heavy" w:eastAsia="Times New Roman" w:hAnsi="Lato Heavy" w:cs="Times New Roman"/>
      <w:color w:val="2C7DC1"/>
      <w:sz w:val="24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40" w:lineRule="auto"/>
      <w:outlineLvl w:val="3"/>
    </w:pPr>
    <w:rPr>
      <w:rFonts w:ascii="Lato Heavy" w:eastAsia="Times New Roman" w:hAnsi="Lato Heavy" w:cs="Times New Roman"/>
      <w:color w:val="2C7DC1"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0" w:line="240" w:lineRule="auto"/>
      <w:outlineLvl w:val="4"/>
    </w:pPr>
    <w:rPr>
      <w:rFonts w:eastAsia="Times New Roman" w:cs="Times New Roman"/>
      <w:b/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493E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93ECF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8EE-5A83-4C8E-B333-E72D2C3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pcmarce</dc:creator>
  <cp:lastModifiedBy>UCPP</cp:lastModifiedBy>
  <cp:revision>2</cp:revision>
  <cp:lastPrinted>2016-06-24T16:21:00Z</cp:lastPrinted>
  <dcterms:created xsi:type="dcterms:W3CDTF">2016-06-24T16:28:00Z</dcterms:created>
  <dcterms:modified xsi:type="dcterms:W3CDTF">2016-06-24T16:28:00Z</dcterms:modified>
</cp:coreProperties>
</file>